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34227" w14:textId="77777777" w:rsidR="009C3FEA" w:rsidRDefault="009C3FEA">
      <w:pPr>
        <w:ind w:left="0" w:firstLine="0"/>
        <w:rPr>
          <w:rFonts w:ascii="Garamond" w:eastAsia="Garamond" w:hAnsi="Garamond" w:cs="Garamond"/>
        </w:rPr>
      </w:pPr>
    </w:p>
    <w:p w14:paraId="2AE772E3" w14:textId="77777777" w:rsidR="00D57D44" w:rsidRDefault="00D57D44" w:rsidP="00D57D44">
      <w:pPr>
        <w:pStyle w:val="NormalWeb"/>
        <w:spacing w:before="513" w:beforeAutospacing="0" w:after="0" w:afterAutospacing="0"/>
        <w:ind w:left="1"/>
      </w:pPr>
      <w:r>
        <w:rPr>
          <w:rFonts w:ascii="Garamond" w:hAnsi="Garamond"/>
          <w:color w:val="000000"/>
        </w:rPr>
        <w:t>April 4, 2023 </w:t>
      </w:r>
    </w:p>
    <w:p w14:paraId="0C2F331A" w14:textId="7AC3C3C8" w:rsidR="00D57D44" w:rsidRDefault="000D7E84" w:rsidP="00D57D44">
      <w:pPr>
        <w:pStyle w:val="NormalWeb"/>
        <w:spacing w:before="291" w:beforeAutospacing="0" w:after="0" w:afterAutospacing="0"/>
        <w:ind w:left="11"/>
      </w:pPr>
      <w:r>
        <w:rPr>
          <w:rFonts w:ascii="Garamond" w:hAnsi="Garamond"/>
          <w:color w:val="000000"/>
        </w:rPr>
        <w:t>Senate Committee on Revenue and Economic Development</w:t>
      </w:r>
    </w:p>
    <w:p w14:paraId="09C82E9C" w14:textId="4CF5E770" w:rsidR="00D57D44" w:rsidRDefault="00D57D44" w:rsidP="00D57D44">
      <w:pPr>
        <w:pStyle w:val="NormalWeb"/>
        <w:spacing w:before="8" w:beforeAutospacing="0" w:after="0" w:afterAutospacing="0"/>
        <w:ind w:left="12"/>
      </w:pPr>
      <w:r>
        <w:rPr>
          <w:rFonts w:ascii="Garamond" w:hAnsi="Garamond"/>
          <w:color w:val="000000"/>
        </w:rPr>
        <w:t xml:space="preserve">Chair, </w:t>
      </w:r>
      <w:r w:rsidR="000D7E84">
        <w:rPr>
          <w:rFonts w:ascii="Garamond" w:hAnsi="Garamond"/>
          <w:color w:val="000000"/>
        </w:rPr>
        <w:t>Senator Dina Neal</w:t>
      </w:r>
    </w:p>
    <w:p w14:paraId="5FB0D90F" w14:textId="1C7A761F" w:rsidR="00D57D44" w:rsidRDefault="00D57D44" w:rsidP="00D57D44">
      <w:pPr>
        <w:pStyle w:val="NormalWeb"/>
        <w:spacing w:before="291" w:beforeAutospacing="0" w:after="0" w:afterAutospacing="0"/>
        <w:ind w:left="12"/>
      </w:pPr>
      <w:r>
        <w:rPr>
          <w:rFonts w:ascii="Garamond" w:hAnsi="Garamond"/>
          <w:b/>
          <w:bCs/>
          <w:color w:val="000000"/>
        </w:rPr>
        <w:t xml:space="preserve">Re: SUPPORT for </w:t>
      </w:r>
      <w:r w:rsidR="006C5C41">
        <w:rPr>
          <w:rFonts w:ascii="Garamond" w:hAnsi="Garamond"/>
          <w:b/>
          <w:bCs/>
          <w:color w:val="000000"/>
        </w:rPr>
        <w:t>SB 396</w:t>
      </w:r>
    </w:p>
    <w:p w14:paraId="1E83EBBE" w14:textId="2A642FA5" w:rsidR="00D57D44" w:rsidRDefault="00D57D44" w:rsidP="00D57D44">
      <w:pPr>
        <w:pStyle w:val="NormalWeb"/>
        <w:spacing w:before="291" w:beforeAutospacing="0" w:after="0" w:afterAutospacing="0"/>
        <w:ind w:left="7"/>
      </w:pPr>
      <w:r>
        <w:rPr>
          <w:rFonts w:ascii="Garamond" w:hAnsi="Garamond"/>
          <w:color w:val="000000"/>
        </w:rPr>
        <w:t xml:space="preserve">Honorable Chair </w:t>
      </w:r>
      <w:r w:rsidR="000D7E84">
        <w:rPr>
          <w:rFonts w:ascii="Garamond" w:hAnsi="Garamond"/>
          <w:color w:val="000000"/>
        </w:rPr>
        <w:t>Neal</w:t>
      </w:r>
      <w:r>
        <w:rPr>
          <w:rFonts w:ascii="Garamond" w:hAnsi="Garamond"/>
          <w:color w:val="000000"/>
        </w:rPr>
        <w:t xml:space="preserve"> and Committee Members, </w:t>
      </w:r>
    </w:p>
    <w:p w14:paraId="45F7A2F4" w14:textId="14E187E1" w:rsidR="00D57D44" w:rsidRDefault="00D57D44" w:rsidP="00D57D44">
      <w:pPr>
        <w:pStyle w:val="NormalWeb"/>
        <w:spacing w:before="296" w:beforeAutospacing="0" w:after="0" w:afterAutospacing="0"/>
        <w:ind w:left="8" w:right="703" w:hanging="11"/>
        <w:jc w:val="both"/>
      </w:pPr>
      <w:r>
        <w:rPr>
          <w:rFonts w:ascii="Garamond" w:hAnsi="Garamond"/>
          <w:color w:val="000000"/>
        </w:rPr>
        <w:t xml:space="preserve">Educate Nevada Now (“ENN”), powered by The Rogers Foundation, is a nonpartisan education policy organization focused on ensuring all students have the resources they need to be successful, regardless of their background or zip code. On behalf of ENN, thank you for the opportunity to provide comment in support of </w:t>
      </w:r>
      <w:r w:rsidR="006C5C41">
        <w:rPr>
          <w:rFonts w:ascii="Garamond" w:hAnsi="Garamond"/>
          <w:color w:val="000000"/>
        </w:rPr>
        <w:t>SB 396</w:t>
      </w:r>
      <w:r>
        <w:rPr>
          <w:rFonts w:ascii="Garamond" w:hAnsi="Garamond"/>
          <w:color w:val="000000"/>
        </w:rPr>
        <w:t xml:space="preserve">, a bill that </w:t>
      </w:r>
      <w:r w:rsidR="006C5C41">
        <w:rPr>
          <w:rFonts w:ascii="Garamond" w:hAnsi="Garamond"/>
          <w:color w:val="000000"/>
        </w:rPr>
        <w:t>would modernize Nevada’s antiquated sales tax base to better support the needs of our state</w:t>
      </w:r>
      <w:r>
        <w:rPr>
          <w:rFonts w:ascii="Garamond" w:hAnsi="Garamond"/>
          <w:color w:val="000000"/>
        </w:rPr>
        <w:t>.</w:t>
      </w:r>
    </w:p>
    <w:p w14:paraId="446EB4E1" w14:textId="6EC764A5" w:rsidR="006C5C41" w:rsidRDefault="006C5C41" w:rsidP="006C5C41">
      <w:pPr>
        <w:pStyle w:val="NormalWeb"/>
        <w:spacing w:before="296" w:after="0"/>
        <w:ind w:right="703" w:hanging="11"/>
        <w:jc w:val="both"/>
        <w:rPr>
          <w:rFonts w:ascii="Garamond" w:hAnsi="Garamond"/>
          <w:color w:val="000000"/>
        </w:rPr>
      </w:pPr>
      <w:r>
        <w:rPr>
          <w:rFonts w:ascii="Garamond" w:hAnsi="Garamond"/>
          <w:color w:val="000000"/>
        </w:rPr>
        <w:t xml:space="preserve">Recently, Nevada’s Commission on School funding created a detailed plan on how our state can pull itself out of the bottom in K-12 funding. Their ten-year plan recommended several avenues to reach adequate funding levels, one of which is the subject of this bill, modernizing our sales tax base. Including only the sale of tangible goods for the purpose of the sales tax ignores a seismic shift to a more digital world.  Without modernizing our sales tax base, the shift from tangible to digital goods has </w:t>
      </w:r>
      <w:r w:rsidRPr="006C5C41">
        <w:rPr>
          <w:rFonts w:ascii="Garamond" w:hAnsi="Garamond"/>
          <w:color w:val="000000"/>
        </w:rPr>
        <w:t>resulted in years of revenue losses for things like books, movies, music, and other products that purchase and access online rather than a brick-and-mortar store. The Commission described this phenomenon as “economic leakage” that drains our state’s pool of resources, and further state</w:t>
      </w:r>
      <w:r>
        <w:rPr>
          <w:rFonts w:ascii="Garamond" w:hAnsi="Garamond"/>
          <w:color w:val="000000"/>
        </w:rPr>
        <w:t>d</w:t>
      </w:r>
      <w:r w:rsidRPr="006C5C41">
        <w:rPr>
          <w:rFonts w:ascii="Garamond" w:hAnsi="Garamond"/>
          <w:color w:val="000000"/>
        </w:rPr>
        <w:t xml:space="preserve"> that efforts like SB 396 “</w:t>
      </w:r>
      <w:r w:rsidRPr="006C5C41">
        <w:rPr>
          <w:rStyle w:val="markedcontent"/>
          <w:rFonts w:ascii="Garamond" w:hAnsi="Garamond" w:cs="Arial"/>
        </w:rPr>
        <w:t>should be embraced as a beginning point of meaningful tax policy modernization</w:t>
      </w:r>
      <w:r w:rsidRPr="006C5C41">
        <w:rPr>
          <w:rFonts w:ascii="Garamond" w:hAnsi="Garamond"/>
          <w:color w:val="000000"/>
        </w:rPr>
        <w:t>.”</w:t>
      </w:r>
      <w:r w:rsidRPr="006C5C41">
        <w:rPr>
          <w:rStyle w:val="FootnoteReference"/>
          <w:rFonts w:ascii="Garamond" w:hAnsi="Garamond"/>
          <w:color w:val="000000"/>
        </w:rPr>
        <w:footnoteReference w:id="1"/>
      </w:r>
    </w:p>
    <w:p w14:paraId="0054538E" w14:textId="2C627CCF" w:rsidR="006C5C41" w:rsidRDefault="006C5C41" w:rsidP="00E616D0">
      <w:pPr>
        <w:pStyle w:val="NormalWeb"/>
        <w:spacing w:before="296" w:after="0"/>
        <w:ind w:right="703" w:hanging="11"/>
        <w:jc w:val="both"/>
        <w:rPr>
          <w:rFonts w:ascii="Garamond" w:hAnsi="Garamond"/>
          <w:color w:val="000000"/>
        </w:rPr>
      </w:pPr>
      <w:r>
        <w:rPr>
          <w:rFonts w:ascii="Garamond" w:hAnsi="Garamond"/>
          <w:color w:val="000000"/>
        </w:rPr>
        <w:t>This loss in revenue is one piece of the puzzle in how Nevada went from being 23rd in the nation in school funding back in the 1970s to 48th in funding today. Funding equals critical resources, not just for education but for the state. For schools it means paying our educators and support professionals a fair wage, lowering class sizes, and ensuring students are prepared for the college, career, and community. We urge you to support SB 396.</w:t>
      </w:r>
    </w:p>
    <w:p w14:paraId="5BBEDEE1" w14:textId="77777777" w:rsidR="006C5C41" w:rsidRDefault="006C5C41" w:rsidP="00E616D0">
      <w:pPr>
        <w:pStyle w:val="NormalWeb"/>
        <w:spacing w:before="296" w:after="0"/>
        <w:ind w:right="703" w:hanging="11"/>
        <w:jc w:val="both"/>
        <w:rPr>
          <w:rFonts w:ascii="Garamond" w:hAnsi="Garamond"/>
          <w:color w:val="000000"/>
        </w:rPr>
      </w:pPr>
    </w:p>
    <w:p w14:paraId="3CA8D112" w14:textId="726D0753" w:rsidR="00E616D0" w:rsidRPr="00E616D0" w:rsidRDefault="00E616D0" w:rsidP="00E616D0">
      <w:pPr>
        <w:pStyle w:val="NormalWeb"/>
        <w:spacing w:before="296" w:after="0"/>
        <w:ind w:right="703" w:hanging="11"/>
        <w:jc w:val="both"/>
        <w:rPr>
          <w:rFonts w:ascii="Garamond" w:hAnsi="Garamond"/>
          <w:color w:val="000000"/>
        </w:rPr>
      </w:pPr>
      <w:r w:rsidRPr="00E616D0">
        <w:rPr>
          <w:rFonts w:ascii="Garamond" w:hAnsi="Garamond"/>
          <w:color w:val="000000"/>
        </w:rPr>
        <w:lastRenderedPageBreak/>
        <w:t>Thank you, Senator Neal for bringing this bill forward and for seeking solutions to address the</w:t>
      </w:r>
      <w:r w:rsidR="006C5C41">
        <w:rPr>
          <w:rFonts w:ascii="Garamond" w:hAnsi="Garamond"/>
          <w:color w:val="000000"/>
        </w:rPr>
        <w:t xml:space="preserve"> </w:t>
      </w:r>
      <w:proofErr w:type="spellStart"/>
      <w:r w:rsidR="006C5C41">
        <w:rPr>
          <w:rFonts w:ascii="Garamond" w:hAnsi="Garamond"/>
          <w:color w:val="000000"/>
        </w:rPr>
        <w:t>the</w:t>
      </w:r>
      <w:proofErr w:type="spellEnd"/>
      <w:r w:rsidR="006C5C41">
        <w:rPr>
          <w:rFonts w:ascii="Garamond" w:hAnsi="Garamond"/>
          <w:color w:val="000000"/>
        </w:rPr>
        <w:t xml:space="preserve"> needs of our state.</w:t>
      </w:r>
    </w:p>
    <w:p w14:paraId="1BCD0492" w14:textId="77777777" w:rsidR="00D57D44" w:rsidRDefault="00D57D44" w:rsidP="00D57D44">
      <w:pPr>
        <w:pStyle w:val="NormalWeb"/>
        <w:spacing w:before="585" w:beforeAutospacing="0" w:after="0" w:afterAutospacing="0"/>
        <w:ind w:left="7"/>
      </w:pPr>
      <w:r>
        <w:rPr>
          <w:rFonts w:ascii="Garamond" w:hAnsi="Garamond"/>
          <w:color w:val="000000"/>
        </w:rPr>
        <w:t>Respectfully,  </w:t>
      </w:r>
    </w:p>
    <w:p w14:paraId="233504C5" w14:textId="77777777" w:rsidR="00D57D44" w:rsidRDefault="00D57D44" w:rsidP="00D57D44">
      <w:pPr>
        <w:pStyle w:val="NormalWeb"/>
        <w:spacing w:before="291" w:beforeAutospacing="0" w:after="0" w:afterAutospacing="0"/>
        <w:ind w:left="1"/>
      </w:pPr>
      <w:r>
        <w:rPr>
          <w:rFonts w:ascii="Garamond" w:hAnsi="Garamond"/>
          <w:color w:val="000000"/>
        </w:rPr>
        <w:t>Amanda Morgan, Esq. </w:t>
      </w:r>
    </w:p>
    <w:p w14:paraId="4404C817" w14:textId="77777777" w:rsidR="00D57D44" w:rsidRDefault="00D57D44" w:rsidP="00D57D44">
      <w:pPr>
        <w:pStyle w:val="NormalWeb"/>
        <w:spacing w:before="8" w:beforeAutospacing="0" w:after="0" w:afterAutospacing="0"/>
        <w:ind w:left="10"/>
      </w:pPr>
      <w:r>
        <w:rPr>
          <w:rFonts w:ascii="Garamond" w:hAnsi="Garamond"/>
          <w:color w:val="0563C1"/>
          <w:u w:val="single"/>
        </w:rPr>
        <w:t>amorgan@educatenevadanow.com</w:t>
      </w:r>
    </w:p>
    <w:p w14:paraId="210FDAFC" w14:textId="635E120D" w:rsidR="009C3FEA" w:rsidRDefault="009C3FEA" w:rsidP="00D57D44">
      <w:pPr>
        <w:rPr>
          <w:rFonts w:ascii="Garamond" w:eastAsia="Garamond" w:hAnsi="Garamond" w:cs="Garamond"/>
        </w:rPr>
      </w:pPr>
    </w:p>
    <w:sectPr w:rsidR="009C3FEA">
      <w:headerReference w:type="even" r:id="rId7"/>
      <w:headerReference w:type="default" r:id="rId8"/>
      <w:footerReference w:type="even" r:id="rId9"/>
      <w:footerReference w:type="default" r:id="rId10"/>
      <w:headerReference w:type="first" r:id="rId11"/>
      <w:footerReference w:type="first" r:id="rId12"/>
      <w:pgSz w:w="12240" w:h="15840"/>
      <w:pgMar w:top="2901" w:right="1069" w:bottom="1515" w:left="1099" w:header="567" w:footer="4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5B3A7" w14:textId="77777777" w:rsidR="00394591" w:rsidRDefault="00394591">
      <w:pPr>
        <w:spacing w:after="0" w:line="240" w:lineRule="auto"/>
      </w:pPr>
      <w:r>
        <w:separator/>
      </w:r>
    </w:p>
  </w:endnote>
  <w:endnote w:type="continuationSeparator" w:id="0">
    <w:p w14:paraId="0218604F" w14:textId="77777777" w:rsidR="00394591" w:rsidRDefault="00394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E5406" w14:textId="77777777" w:rsidR="009C3FEA" w:rsidRDefault="00000000">
    <w:pPr>
      <w:spacing w:after="0" w:line="259" w:lineRule="auto"/>
      <w:ind w:left="0" w:right="-336" w:firstLine="0"/>
      <w:jc w:val="right"/>
    </w:pPr>
    <w:r>
      <w:t xml:space="preserve"> </w:t>
    </w:r>
    <w:r>
      <w:rPr>
        <w:noProof/>
      </w:rPr>
      <w:drawing>
        <wp:anchor distT="0" distB="0" distL="114300" distR="114300" simplePos="0" relativeHeight="251663360" behindDoc="0" locked="0" layoutInCell="1" hidden="0" allowOverlap="1" wp14:anchorId="036D032A" wp14:editId="081F1C68">
          <wp:simplePos x="0" y="0"/>
          <wp:positionH relativeFrom="column">
            <wp:posOffset>518</wp:posOffset>
          </wp:positionH>
          <wp:positionV relativeFrom="paragraph">
            <wp:posOffset>0</wp:posOffset>
          </wp:positionV>
          <wp:extent cx="6576060" cy="175260"/>
          <wp:effectExtent l="0" t="0" r="0" b="0"/>
          <wp:wrapSquare wrapText="bothSides" distT="0" distB="0" distL="114300" distR="114300"/>
          <wp:docPr id="412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576060" cy="17526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7F097" w14:textId="77777777" w:rsidR="009C3FEA" w:rsidRDefault="00000000">
    <w:pPr>
      <w:spacing w:after="0" w:line="259" w:lineRule="auto"/>
      <w:ind w:left="0" w:right="-336" w:firstLine="0"/>
      <w:jc w:val="right"/>
    </w:pPr>
    <w:r>
      <w:t xml:space="preserve"> </w:t>
    </w:r>
    <w:r>
      <w:rPr>
        <w:noProof/>
      </w:rPr>
      <w:drawing>
        <wp:anchor distT="0" distB="0" distL="114300" distR="114300" simplePos="0" relativeHeight="251661312" behindDoc="0" locked="0" layoutInCell="1" hidden="0" allowOverlap="1" wp14:anchorId="2C917EF5" wp14:editId="64C047E9">
          <wp:simplePos x="0" y="0"/>
          <wp:positionH relativeFrom="column">
            <wp:posOffset>518</wp:posOffset>
          </wp:positionH>
          <wp:positionV relativeFrom="paragraph">
            <wp:posOffset>0</wp:posOffset>
          </wp:positionV>
          <wp:extent cx="6576060" cy="175260"/>
          <wp:effectExtent l="0" t="0" r="0" b="0"/>
          <wp:wrapSquare wrapText="bothSides" distT="0" distB="0" distL="114300" distR="114300"/>
          <wp:docPr id="41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576060" cy="17526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3CE92" w14:textId="77777777" w:rsidR="009C3FEA" w:rsidRDefault="00000000">
    <w:pPr>
      <w:spacing w:after="0" w:line="259" w:lineRule="auto"/>
      <w:ind w:left="0" w:right="-336" w:firstLine="0"/>
      <w:jc w:val="right"/>
    </w:pPr>
    <w:r>
      <w:t xml:space="preserve"> </w:t>
    </w:r>
    <w:r>
      <w:rPr>
        <w:noProof/>
      </w:rPr>
      <w:drawing>
        <wp:anchor distT="0" distB="0" distL="114300" distR="114300" simplePos="0" relativeHeight="251662336" behindDoc="0" locked="0" layoutInCell="1" hidden="0" allowOverlap="1" wp14:anchorId="303BDBE4" wp14:editId="036F90D3">
          <wp:simplePos x="0" y="0"/>
          <wp:positionH relativeFrom="column">
            <wp:posOffset>518</wp:posOffset>
          </wp:positionH>
          <wp:positionV relativeFrom="paragraph">
            <wp:posOffset>0</wp:posOffset>
          </wp:positionV>
          <wp:extent cx="6576060" cy="175260"/>
          <wp:effectExtent l="0" t="0" r="0" b="0"/>
          <wp:wrapSquare wrapText="bothSides" distT="0" distB="0" distL="114300" distR="114300"/>
          <wp:docPr id="41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576060" cy="17526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45CCB" w14:textId="77777777" w:rsidR="00394591" w:rsidRDefault="00394591">
      <w:pPr>
        <w:spacing w:after="0" w:line="240" w:lineRule="auto"/>
      </w:pPr>
      <w:r>
        <w:separator/>
      </w:r>
    </w:p>
  </w:footnote>
  <w:footnote w:type="continuationSeparator" w:id="0">
    <w:p w14:paraId="1D4083A1" w14:textId="77777777" w:rsidR="00394591" w:rsidRDefault="00394591">
      <w:pPr>
        <w:spacing w:after="0" w:line="240" w:lineRule="auto"/>
      </w:pPr>
      <w:r>
        <w:continuationSeparator/>
      </w:r>
    </w:p>
  </w:footnote>
  <w:footnote w:id="1">
    <w:p w14:paraId="5EA519EC" w14:textId="7767847A" w:rsidR="006C5C41" w:rsidRPr="000D7E84" w:rsidRDefault="006C5C41">
      <w:pPr>
        <w:pStyle w:val="FootnoteText"/>
        <w:rPr>
          <w:rFonts w:ascii="Garamond" w:hAnsi="Garamond"/>
        </w:rPr>
      </w:pPr>
      <w:r w:rsidRPr="000D7E84">
        <w:rPr>
          <w:rStyle w:val="FootnoteReference"/>
          <w:rFonts w:ascii="Garamond" w:hAnsi="Garamond"/>
        </w:rPr>
        <w:footnoteRef/>
      </w:r>
      <w:r w:rsidRPr="000D7E84">
        <w:rPr>
          <w:rFonts w:ascii="Garamond" w:hAnsi="Garamond"/>
        </w:rPr>
        <w:t xml:space="preserve"> Commission on School Funding Report, 36, Nov. 2022, available at </w:t>
      </w:r>
      <w:hyperlink r:id="rId1" w:history="1">
        <w:r w:rsidRPr="000D7E84">
          <w:rPr>
            <w:rStyle w:val="Hyperlink"/>
            <w:rFonts w:ascii="Garamond" w:hAnsi="Garamond"/>
          </w:rPr>
          <w:t>https://doe.nv.gov/uploadedFiles/ndedoenvgov/content/Boards_Commissions_Councils/Commission_on_School_Funding/CSF_Recommendations_2022.pdf</w:t>
        </w:r>
      </w:hyperlink>
      <w:r w:rsidRPr="000D7E84">
        <w:rPr>
          <w:rFonts w:ascii="Garamond" w:hAnsi="Garamond"/>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F2241" w14:textId="77777777" w:rsidR="009C3FEA" w:rsidRDefault="00000000">
    <w:pPr>
      <w:spacing w:after="0" w:line="259" w:lineRule="auto"/>
      <w:ind w:left="0" w:right="-792" w:firstLine="0"/>
      <w:jc w:val="right"/>
    </w:pPr>
    <w:r>
      <w:rPr>
        <w:noProof/>
      </w:rPr>
      <w:drawing>
        <wp:anchor distT="0" distB="0" distL="114300" distR="114300" simplePos="0" relativeHeight="251660288" behindDoc="0" locked="0" layoutInCell="1" hidden="0" allowOverlap="1" wp14:anchorId="7DC0A708" wp14:editId="62D4DE7B">
          <wp:simplePos x="0" y="0"/>
          <wp:positionH relativeFrom="page">
            <wp:posOffset>698381</wp:posOffset>
          </wp:positionH>
          <wp:positionV relativeFrom="page">
            <wp:posOffset>359927</wp:posOffset>
          </wp:positionV>
          <wp:extent cx="6870193" cy="1121664"/>
          <wp:effectExtent l="0" t="0" r="0" b="0"/>
          <wp:wrapSquare wrapText="bothSides" distT="0" distB="0" distL="114300" distR="114300"/>
          <wp:docPr id="41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870193" cy="1121664"/>
                  </a:xfrm>
                  <a:prstGeom prst="rect">
                    <a:avLst/>
                  </a:prstGeom>
                  <a:ln/>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5D173" w14:textId="77777777" w:rsidR="009C3FEA" w:rsidRDefault="00000000">
    <w:pPr>
      <w:spacing w:after="0" w:line="259" w:lineRule="auto"/>
      <w:ind w:left="0" w:right="-792" w:firstLine="0"/>
      <w:jc w:val="right"/>
    </w:pPr>
    <w:r>
      <w:rPr>
        <w:noProof/>
      </w:rPr>
      <w:drawing>
        <wp:anchor distT="0" distB="0" distL="114300" distR="114300" simplePos="0" relativeHeight="251658240" behindDoc="0" locked="0" layoutInCell="1" hidden="0" allowOverlap="1" wp14:anchorId="1B680933" wp14:editId="0135AE51">
          <wp:simplePos x="0" y="0"/>
          <wp:positionH relativeFrom="page">
            <wp:posOffset>698381</wp:posOffset>
          </wp:positionH>
          <wp:positionV relativeFrom="page">
            <wp:posOffset>359927</wp:posOffset>
          </wp:positionV>
          <wp:extent cx="6870193" cy="1121664"/>
          <wp:effectExtent l="0" t="0" r="0" b="0"/>
          <wp:wrapSquare wrapText="bothSides" distT="0" distB="0" distL="114300" distR="114300"/>
          <wp:docPr id="41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870193" cy="1121664"/>
                  </a:xfrm>
                  <a:prstGeom prst="rect">
                    <a:avLst/>
                  </a:prstGeom>
                  <a:ln/>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27A80" w14:textId="77777777" w:rsidR="009C3FEA" w:rsidRDefault="00000000">
    <w:pPr>
      <w:spacing w:after="0" w:line="259" w:lineRule="auto"/>
      <w:ind w:left="0" w:right="-792" w:firstLine="0"/>
      <w:jc w:val="right"/>
    </w:pPr>
    <w:r>
      <w:rPr>
        <w:noProof/>
      </w:rPr>
      <w:drawing>
        <wp:anchor distT="0" distB="0" distL="114300" distR="114300" simplePos="0" relativeHeight="251659264" behindDoc="0" locked="0" layoutInCell="1" hidden="0" allowOverlap="1" wp14:anchorId="3F93AFEE" wp14:editId="1FD101B9">
          <wp:simplePos x="0" y="0"/>
          <wp:positionH relativeFrom="page">
            <wp:posOffset>698381</wp:posOffset>
          </wp:positionH>
          <wp:positionV relativeFrom="page">
            <wp:posOffset>359927</wp:posOffset>
          </wp:positionV>
          <wp:extent cx="6870193" cy="1121664"/>
          <wp:effectExtent l="0" t="0" r="0" b="0"/>
          <wp:wrapSquare wrapText="bothSides" distT="0" distB="0" distL="114300" distR="114300"/>
          <wp:docPr id="41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870193" cy="1121664"/>
                  </a:xfrm>
                  <a:prstGeom prst="rect">
                    <a:avLst/>
                  </a:prstGeom>
                  <a:ln/>
                </pic:spPr>
              </pic:pic>
            </a:graphicData>
          </a:graphic>
        </wp:anchor>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FEA"/>
    <w:rsid w:val="00046158"/>
    <w:rsid w:val="000A7C88"/>
    <w:rsid w:val="000D7E84"/>
    <w:rsid w:val="00394591"/>
    <w:rsid w:val="006C5C41"/>
    <w:rsid w:val="00822E08"/>
    <w:rsid w:val="00822F91"/>
    <w:rsid w:val="008D4B28"/>
    <w:rsid w:val="009C3FEA"/>
    <w:rsid w:val="00D52977"/>
    <w:rsid w:val="00D57D44"/>
    <w:rsid w:val="00E616D0"/>
    <w:rsid w:val="00E90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96054B"/>
  <w15:docId w15:val="{1CBFFE03-BB5B-264A-A198-20FD9F27B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5" w:line="250"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hanging="10"/>
    </w:pPr>
    <w:rPr>
      <w:color w:val="00000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F710A1"/>
    <w:rPr>
      <w:color w:val="0563C1" w:themeColor="hyperlink"/>
      <w:u w:val="single"/>
    </w:rPr>
  </w:style>
  <w:style w:type="character" w:styleId="UnresolvedMention">
    <w:name w:val="Unresolved Mention"/>
    <w:basedOn w:val="DefaultParagraphFont"/>
    <w:uiPriority w:val="99"/>
    <w:semiHidden/>
    <w:unhideWhenUsed/>
    <w:rsid w:val="00F710A1"/>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0461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6158"/>
    <w:rPr>
      <w:color w:val="000000"/>
      <w:sz w:val="20"/>
      <w:szCs w:val="20"/>
    </w:rPr>
  </w:style>
  <w:style w:type="character" w:styleId="FootnoteReference">
    <w:name w:val="footnote reference"/>
    <w:basedOn w:val="DefaultParagraphFont"/>
    <w:uiPriority w:val="99"/>
    <w:semiHidden/>
    <w:unhideWhenUsed/>
    <w:rsid w:val="00046158"/>
    <w:rPr>
      <w:vertAlign w:val="superscript"/>
    </w:rPr>
  </w:style>
  <w:style w:type="paragraph" w:styleId="NormalWeb">
    <w:name w:val="Normal (Web)"/>
    <w:basedOn w:val="Normal"/>
    <w:uiPriority w:val="99"/>
    <w:semiHidden/>
    <w:unhideWhenUsed/>
    <w:rsid w:val="00D57D44"/>
    <w:pPr>
      <w:spacing w:before="100" w:beforeAutospacing="1" w:after="100" w:afterAutospacing="1" w:line="240" w:lineRule="auto"/>
      <w:ind w:left="0" w:firstLine="0"/>
    </w:pPr>
    <w:rPr>
      <w:rFonts w:ascii="Times New Roman" w:eastAsia="Times New Roman" w:hAnsi="Times New Roman" w:cs="Times New Roman"/>
      <w:color w:val="auto"/>
    </w:rPr>
  </w:style>
  <w:style w:type="character" w:customStyle="1" w:styleId="markedcontent">
    <w:name w:val="markedcontent"/>
    <w:basedOn w:val="DefaultParagraphFont"/>
    <w:rsid w:val="006C5C41"/>
  </w:style>
  <w:style w:type="character" w:styleId="FollowedHyperlink">
    <w:name w:val="FollowedHyperlink"/>
    <w:basedOn w:val="DefaultParagraphFont"/>
    <w:uiPriority w:val="99"/>
    <w:semiHidden/>
    <w:unhideWhenUsed/>
    <w:rsid w:val="000D7E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64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s://doe.nv.gov/uploadedFiles/ndedoenvgov/content/Boards_Commissions_Councils/Commission_on_School_Funding/CSF_Recommendations_202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sTwCnhABXZqFqwG58O5jsX0QWPg==">AMUW2mWHySubtKBABuFcgCE3npxW7uVorBh2QITvVx+yFGG78pID92fV0fpAm850pPYKA3DlWqlr5PED3jtgUkbPuFrhVY3z+lhxgg3L0csIfMCOKPZuKjyHdI8W+NW4tzQsssHdOxl23XnA9+t1NN7lLY9bb4GvLt7YxPQ9BPzNsqL3fgOHGDYp6acmq3z2Y9tnjmVuF1MgC7BqcnQEez6LBUJeN42kDAcbmQV0HSrwrmx/Yt3rgRhUwBtiUPEoTpcAGzYtc0O5lJ6OwzQI6ULSVT59ZVO3eDUGLHng7JBot+xAe7YBN/x70tPPwHg4ka6lJI+A0zO0oFCF6gcRE/OvRiGHH2MiKi5SjubndkZXyxDkZAkkwK3hlIgatgp1pGVvA+6A6d9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317</Words>
  <Characters>1807</Characters>
  <Application>Microsoft Office Word</Application>
  <DocSecurity>0</DocSecurity>
  <Lines>15</Lines>
  <Paragraphs>4</Paragraphs>
  <ScaleCrop>false</ScaleCrop>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Morgan</dc:creator>
  <cp:lastModifiedBy>Amanda Morgan</cp:lastModifiedBy>
  <cp:revision>4</cp:revision>
  <cp:lastPrinted>2023-04-04T15:50:00Z</cp:lastPrinted>
  <dcterms:created xsi:type="dcterms:W3CDTF">2023-04-04T15:56:00Z</dcterms:created>
  <dcterms:modified xsi:type="dcterms:W3CDTF">2023-04-04T16:23:00Z</dcterms:modified>
</cp:coreProperties>
</file>